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6C" w:rsidRPr="00E66A6C" w:rsidRDefault="00E66A6C" w:rsidP="00E66A6C">
      <w:pPr>
        <w:pStyle w:val="2"/>
        <w:shd w:val="clear" w:color="auto" w:fill="F9FCFD"/>
        <w:spacing w:before="0" w:after="150" w:line="300" w:lineRule="atLeast"/>
        <w:jc w:val="center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E66A6C">
        <w:rPr>
          <w:rFonts w:ascii="Times New Roman" w:hAnsi="Times New Roman" w:cs="Times New Roman"/>
          <w:caps/>
          <w:color w:val="auto"/>
          <w:sz w:val="28"/>
          <w:szCs w:val="28"/>
        </w:rPr>
        <w:t>О СВЕТОВОЗВРАЩАЮЩИХ ЭЛЕМЕНТАХ</w:t>
      </w:r>
    </w:p>
    <w:p w:rsidR="00E66A6C" w:rsidRPr="00E66A6C" w:rsidRDefault="00E66A6C" w:rsidP="00E66A6C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color w:val="1D1D1D"/>
          <w:sz w:val="28"/>
          <w:szCs w:val="28"/>
        </w:rPr>
      </w:pPr>
      <w:proofErr w:type="spellStart"/>
      <w:r w:rsidRPr="00E66A6C">
        <w:rPr>
          <w:color w:val="1D1D1D"/>
          <w:sz w:val="28"/>
          <w:szCs w:val="28"/>
        </w:rPr>
        <w:t>Световозвращающие</w:t>
      </w:r>
      <w:proofErr w:type="spellEnd"/>
      <w:r w:rsidRPr="00E66A6C">
        <w:rPr>
          <w:color w:val="1D1D1D"/>
          <w:sz w:val="28"/>
          <w:szCs w:val="28"/>
        </w:rPr>
        <w:t xml:space="preserve"> элементы (</w:t>
      </w:r>
      <w:proofErr w:type="spellStart"/>
      <w:r w:rsidRPr="00E66A6C">
        <w:rPr>
          <w:color w:val="1D1D1D"/>
          <w:sz w:val="28"/>
          <w:szCs w:val="28"/>
        </w:rPr>
        <w:t>световозвращатели</w:t>
      </w:r>
      <w:proofErr w:type="spellEnd"/>
      <w:r w:rsidRPr="00E66A6C">
        <w:rPr>
          <w:color w:val="1D1D1D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E66A6C" w:rsidRPr="00E66A6C" w:rsidRDefault="00E66A6C" w:rsidP="00E66A6C">
      <w:pPr>
        <w:shd w:val="clear" w:color="auto" w:fill="F9FCFD"/>
        <w:spacing w:before="150" w:after="75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</w:pPr>
      <w:r w:rsidRPr="00E66A6C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  <w:t>ПРЕДНАЗНАЧЕНИЕ СВЕТОВОЗВРАЩАЮЩИХ ЭЛЕМЕНТОВ</w:t>
      </w:r>
    </w:p>
    <w:p w:rsidR="00E66A6C" w:rsidRPr="00E66A6C" w:rsidRDefault="00E66A6C" w:rsidP="00E66A6C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Световозвращающие</w:t>
      </w:r>
      <w:proofErr w:type="spellEnd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E66A6C" w:rsidRPr="00E66A6C" w:rsidRDefault="00E66A6C" w:rsidP="00E6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3871" cy="5953125"/>
            <wp:effectExtent l="19050" t="0" r="0" b="0"/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871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6C" w:rsidRPr="00E66A6C" w:rsidRDefault="00E66A6C" w:rsidP="00E66A6C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световозвращатель</w:t>
      </w:r>
      <w:proofErr w:type="spellEnd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становится</w:t>
      </w:r>
      <w:proofErr w:type="gramEnd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виден, с применением </w:t>
      </w:r>
      <w:proofErr w:type="spell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световозвращателей</w:t>
      </w:r>
      <w:proofErr w:type="spellEnd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увеличивается со 100 метров до 350 метров. Это даёт водителю 15-25 секунд для принятия решения.</w:t>
      </w:r>
    </w:p>
    <w:p w:rsidR="00E66A6C" w:rsidRPr="00E66A6C" w:rsidRDefault="00E66A6C" w:rsidP="00E66A6C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E66A6C" w:rsidRPr="00E66A6C" w:rsidRDefault="00E66A6C" w:rsidP="00E66A6C">
      <w:pPr>
        <w:shd w:val="clear" w:color="auto" w:fill="F9FCFD"/>
        <w:spacing w:after="0" w:line="30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gram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</w:t>
      </w:r>
      <w:r w:rsidRPr="00E66A6C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при себе предметы со </w:t>
      </w:r>
      <w:proofErr w:type="spellStart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световозвращающими</w:t>
      </w:r>
      <w:proofErr w:type="spellEnd"/>
      <w:r w:rsidRPr="00E66A6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533ABE" w:rsidRDefault="00533ABE">
      <w:pPr>
        <w:rPr>
          <w:rFonts w:ascii="Times New Roman" w:hAnsi="Times New Roman" w:cs="Times New Roman"/>
          <w:sz w:val="28"/>
          <w:szCs w:val="28"/>
        </w:rPr>
      </w:pPr>
    </w:p>
    <w:p w:rsidR="00E66A6C" w:rsidRDefault="00E66A6C" w:rsidP="00E66A6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A6C">
        <w:rPr>
          <w:rFonts w:ascii="Times New Roman" w:hAnsi="Times New Roman" w:cs="Times New Roman"/>
          <w:b/>
          <w:sz w:val="28"/>
          <w:szCs w:val="28"/>
        </w:rPr>
        <w:t>ПРИМЕРЫ ИСПОЛЬЗОВАНИЯ СВЕТОВОЗВРАЩАЮЩИХ ЭЛЕМЕНТОВ</w:t>
      </w:r>
    </w:p>
    <w:p w:rsidR="00E66A6C" w:rsidRPr="00E66A6C" w:rsidRDefault="00E66A6C" w:rsidP="00E66A6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В настоящее время для обеспечения безопасности на дорогах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 материалы используются при изготовлении элементов в самых различных формах, которые делятся на две группы: съемные и несъемные.</w:t>
      </w:r>
    </w:p>
    <w:p w:rsidR="00E66A6C" w:rsidRP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66A6C" w:rsidRPr="00E66A6C" w:rsidRDefault="00E66A6C" w:rsidP="00E66A6C">
      <w:pPr>
        <w:pStyle w:val="a6"/>
        <w:jc w:val="both"/>
        <w:rPr>
          <w:rFonts w:ascii="Times New Roman" w:hAnsi="Times New Roman" w:cs="Times New Roman"/>
          <w:b/>
          <w:color w:val="083A5D"/>
          <w:sz w:val="28"/>
          <w:szCs w:val="28"/>
        </w:rPr>
      </w:pPr>
      <w:r w:rsidRPr="00E66A6C">
        <w:rPr>
          <w:rFonts w:ascii="Times New Roman" w:hAnsi="Times New Roman" w:cs="Times New Roman"/>
          <w:b/>
          <w:color w:val="083A5D"/>
          <w:sz w:val="28"/>
          <w:szCs w:val="28"/>
        </w:rPr>
        <w:t>СЪЕМНЫЕ СВЕТОВОЗВРАЩАЮЩИЕ ЭЛЕМЕНТЫ</w:t>
      </w:r>
    </w:p>
    <w:p w:rsidR="00E66A6C" w:rsidRP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Съемные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 элементы на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ПВХ-основе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 – это изделия, прикрепляемые к одежде, головному убору, надеваемые на какую-либо часть тела или предметы: сумки, рюкзаки, детские коляски, велосипеды, ролики и другое.</w:t>
      </w:r>
    </w:p>
    <w:p w:rsidR="00E66A6C" w:rsidRP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Их можно легко крепить и снимать. Размещать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световозвращатели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 следует таким образом, чтобы при переходе или движении по проезжей части на них попадал свет фар автомобилей и тем самым привлекал внимание водителей.</w:t>
      </w:r>
    </w:p>
    <w:p w:rsid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Одними из наиболее востребованных съемных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 xml:space="preserve"> изделий являются навесные брелоки, </w:t>
      </w:r>
      <w:proofErr w:type="spellStart"/>
      <w:r w:rsidRPr="00E66A6C">
        <w:rPr>
          <w:rFonts w:ascii="Times New Roman" w:hAnsi="Times New Roman" w:cs="Times New Roman"/>
          <w:color w:val="1D1D1D"/>
          <w:sz w:val="28"/>
          <w:szCs w:val="28"/>
        </w:rPr>
        <w:t>стикеры</w:t>
      </w:r>
      <w:proofErr w:type="spellEnd"/>
      <w:r w:rsidRPr="00E66A6C">
        <w:rPr>
          <w:rFonts w:ascii="Times New Roman" w:hAnsi="Times New Roman" w:cs="Times New Roman"/>
          <w:color w:val="1D1D1D"/>
          <w:sz w:val="28"/>
          <w:szCs w:val="28"/>
        </w:rPr>
        <w:t>, значки, браслеты, накладки на спицы колес велосипеда, жилеты.</w:t>
      </w:r>
    </w:p>
    <w:p w:rsidR="00E66A6C" w:rsidRPr="00E66A6C" w:rsidRDefault="00E66A6C" w:rsidP="00E66A6C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66A6C" w:rsidRDefault="00E66A6C" w:rsidP="00E66A6C">
      <w:pPr>
        <w:shd w:val="clear" w:color="auto" w:fill="F9FCFD"/>
        <w:spacing w:line="300" w:lineRule="atLeast"/>
        <w:jc w:val="center"/>
        <w:textAlignment w:val="baseline"/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251220" cy="1695450"/>
            <wp:effectExtent l="19050" t="0" r="0" b="0"/>
            <wp:docPr id="3" name="Рисунок 3" descr="http://www.gibdd.ru/mens/peshekhodam/reflector/examples/images/d1.jpg">
              <a:hlinkClick xmlns:a="http://schemas.openxmlformats.org/drawingml/2006/main" r:id="rId6" tooltip="&quot;Брел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ibdd.ru/mens/peshekhodam/reflector/examples/images/d1.jpg">
                      <a:hlinkClick r:id="rId6" tooltip="&quot;Брел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22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457450" cy="1693168"/>
            <wp:effectExtent l="19050" t="0" r="0" b="0"/>
            <wp:docPr id="4" name="Рисунок 4" descr="http://www.gibdd.ru/mens/peshekhodam/reflector/examples/images/d2.jpg">
              <a:hlinkClick xmlns:a="http://schemas.openxmlformats.org/drawingml/2006/main" r:id="rId8" tooltip="&quot;Брело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ibdd.ru/mens/peshekhodam/reflector/examples/images/d2.jpg">
                      <a:hlinkClick r:id="rId8" tooltip="&quot;Брело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73" cy="1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209800" cy="2024908"/>
            <wp:effectExtent l="19050" t="0" r="0" b="0"/>
            <wp:docPr id="5" name="Рисунок 5" descr="http://www.gibdd.ru/mens/peshekhodam/reflector/examples/images/d3.jpg">
              <a:hlinkClick xmlns:a="http://schemas.openxmlformats.org/drawingml/2006/main" r:id="rId10" tooltip="&quot;Брелок на сумк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ibdd.ru/mens/peshekhodam/reflector/examples/images/d3.jpg">
                      <a:hlinkClick r:id="rId10" tooltip="&quot;Брелок на сумк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2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466975" cy="2096001"/>
            <wp:effectExtent l="19050" t="0" r="9525" b="0"/>
            <wp:docPr id="6" name="Рисунок 6" descr="http://www.gibdd.ru/mens/peshekhodam/reflector/examples/images/d4.jpg">
              <a:hlinkClick xmlns:a="http://schemas.openxmlformats.org/drawingml/2006/main" r:id="rId12" tooltip="&quot;Брелок на сумке в сумерк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ibdd.ru/mens/peshekhodam/reflector/examples/images/d4.jpg">
                      <a:hlinkClick r:id="rId12" tooltip="&quot;Брелок на сумке в сумерк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9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772025" cy="2978379"/>
            <wp:effectExtent l="19050" t="0" r="9525" b="0"/>
            <wp:docPr id="7" name="Рисунок 7" descr="http://www.gibdd.ru/mens/peshekhodam/reflector/examples/images/d5.jpg">
              <a:hlinkClick xmlns:a="http://schemas.openxmlformats.org/drawingml/2006/main" r:id="rId14" tooltip="&quot;Жилет и нарукав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ibdd.ru/mens/peshekhodam/reflector/examples/images/d5.jpg">
                      <a:hlinkClick r:id="rId14" tooltip="&quot;Жилет и нарукав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7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143125" cy="2352675"/>
            <wp:effectExtent l="19050" t="0" r="9525" b="0"/>
            <wp:docPr id="2" name="Рисунок 9" descr="http://www.gibdd.ru/mens/peshekhodam/reflector/examples/images/d7.jpg">
              <a:hlinkClick xmlns:a="http://schemas.openxmlformats.org/drawingml/2006/main" r:id="rId16" tooltip="&quot;Водитель в жиле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ibdd.ru/mens/peshekhodam/reflector/examples/images/d7.jpg">
                      <a:hlinkClick r:id="rId16" tooltip="&quot;Водитель в жиле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981637" cy="2352675"/>
            <wp:effectExtent l="19050" t="0" r="9213" b="0"/>
            <wp:docPr id="8" name="Рисунок 8" descr="http://www.gibdd.ru/mens/peshekhodam/reflector/examples/images/d6.jpg">
              <a:hlinkClick xmlns:a="http://schemas.openxmlformats.org/drawingml/2006/main" r:id="rId18" tooltip="&quot;Дети в жилет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ibdd.ru/mens/peshekhodam/reflector/examples/images/d6.jpg">
                      <a:hlinkClick r:id="rId18" tooltip="&quot;Дети в жилет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37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941629" cy="3295650"/>
            <wp:effectExtent l="19050" t="0" r="0" b="0"/>
            <wp:docPr id="10" name="Рисунок 10" descr="http://www.gibdd.ru/mens/peshekhodam/reflector/examples/images/d8.jpg">
              <a:hlinkClick xmlns:a="http://schemas.openxmlformats.org/drawingml/2006/main" r:id="rId20" tooltip="&quot;Водитель в жиле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ibdd.ru/mens/peshekhodam/reflector/examples/images/d8.jpg">
                      <a:hlinkClick r:id="rId20" tooltip="&quot;Водитель в жиле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629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32255" cy="2581154"/>
            <wp:effectExtent l="19050" t="0" r="1295" b="0"/>
            <wp:docPr id="12" name="Рисунок 12" descr="http://www.gibdd.ru/mens/peshekhodam/reflector/examples/images/d10.jpg">
              <a:hlinkClick xmlns:a="http://schemas.openxmlformats.org/drawingml/2006/main" r:id="rId22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ibdd.ru/mens/peshekhodam/reflector/examples/images/d10.jpg">
                      <a:hlinkClick r:id="rId22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55" cy="258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612036" cy="2581275"/>
            <wp:effectExtent l="19050" t="0" r="7214" b="0"/>
            <wp:docPr id="13" name="Рисунок 13" descr="http://www.gibdd.ru/mens/peshekhodam/reflector/examples/images/d11.jpg">
              <a:hlinkClick xmlns:a="http://schemas.openxmlformats.org/drawingml/2006/main" r:id="rId24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ibdd.ru/mens/peshekhodam/reflector/examples/images/d11.jpg">
                      <a:hlinkClick r:id="rId24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36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423328" cy="2581275"/>
            <wp:effectExtent l="19050" t="0" r="5422" b="0"/>
            <wp:docPr id="15" name="Рисунок 15" descr="http://www.gibdd.ru/mens/peshekhodam/reflector/examples/images/d13.jpg">
              <a:hlinkClick xmlns:a="http://schemas.openxmlformats.org/drawingml/2006/main" r:id="rId26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ibdd.ru/mens/peshekhodam/reflector/examples/images/d13.jpg">
                      <a:hlinkClick r:id="rId26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28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233519" cy="2819400"/>
            <wp:effectExtent l="19050" t="0" r="0" b="0"/>
            <wp:docPr id="16" name="Рисунок 16" descr="http://www.gibdd.ru/mens/peshekhodam/reflector/examples/images/d14.jpg">
              <a:hlinkClick xmlns:a="http://schemas.openxmlformats.org/drawingml/2006/main" r:id="rId28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ibdd.ru/mens/peshekhodam/reflector/examples/images/d14.jpg">
                      <a:hlinkClick r:id="rId28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19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274795" cy="3514725"/>
            <wp:effectExtent l="19050" t="0" r="2055" b="0"/>
            <wp:docPr id="17" name="Рисунок 17" descr="http://www.gibdd.ru/mens/peshekhodam/reflector/examples/images/d15.jpg">
              <a:hlinkClick xmlns:a="http://schemas.openxmlformats.org/drawingml/2006/main" r:id="rId30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ibdd.ru/mens/peshekhodam/reflector/examples/images/d15.jpg">
                      <a:hlinkClick r:id="rId30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04" cy="351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619375" cy="1957638"/>
            <wp:effectExtent l="19050" t="0" r="9525" b="0"/>
            <wp:docPr id="33" name="Рисунок 23" descr="http://www.gibdd.ru/mens/peshekhodam/reflector/examples/images/d21.jpg">
              <a:hlinkClick xmlns:a="http://schemas.openxmlformats.org/drawingml/2006/main" r:id="rId32" tooltip="&quot;Велосипед с накладкам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ibdd.ru/mens/peshekhodam/reflector/examples/images/d21.jpg">
                      <a:hlinkClick r:id="rId32" tooltip="&quot;Велосипед с накладкам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5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065395" cy="2961490"/>
            <wp:effectExtent l="19050" t="0" r="1905" b="0"/>
            <wp:docPr id="18" name="Рисунок 18" descr="http://www.gibdd.ru/mens/peshekhodam/reflector/examples/images/d16.jpg">
              <a:hlinkClick xmlns:a="http://schemas.openxmlformats.org/drawingml/2006/main" r:id="rId34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gibdd.ru/mens/peshekhodam/reflector/examples/images/d16.jpg">
                      <a:hlinkClick r:id="rId34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29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28298" cy="5667375"/>
            <wp:effectExtent l="19050" t="0" r="5602" b="0"/>
            <wp:docPr id="19" name="Рисунок 19" descr="http://www.gibdd.ru/mens/peshekhodam/reflector/examples/images/d17.jpg">
              <a:hlinkClick xmlns:a="http://schemas.openxmlformats.org/drawingml/2006/main" r:id="rId36" tooltip="&quot;Самоклеящиеся (стикеры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gibdd.ru/mens/peshekhodam/reflector/examples/images/d17.jpg">
                      <a:hlinkClick r:id="rId36" tooltip="&quot;Самоклеящиеся (стикеры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814" cy="5670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809750" cy="1476375"/>
            <wp:effectExtent l="19050" t="0" r="0" b="0"/>
            <wp:docPr id="20" name="Рисунок 20" descr="http://www.gibdd.ru/mens/peshekhodam/reflector/examples/images/d18.jpg">
              <a:hlinkClick xmlns:a="http://schemas.openxmlformats.org/drawingml/2006/main" r:id="rId38" tooltip="&quot;Знач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gibdd.ru/mens/peshekhodam/reflector/examples/images/d18.jpg">
                      <a:hlinkClick r:id="rId38" tooltip="&quot;Знач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381375" cy="2276475"/>
            <wp:effectExtent l="19050" t="0" r="9525" b="0"/>
            <wp:docPr id="21" name="Рисунок 21" descr="http://www.gibdd.ru/mens/peshekhodam/reflector/examples/images/d19.jpg">
              <a:hlinkClick xmlns:a="http://schemas.openxmlformats.org/drawingml/2006/main" r:id="rId40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gibdd.ru/mens/peshekhodam/reflector/examples/images/d19.jpg">
                      <a:hlinkClick r:id="rId40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6C" w:rsidRDefault="00E66A6C" w:rsidP="00E66A6C">
      <w:pPr>
        <w:shd w:val="clear" w:color="auto" w:fill="F9FCFD"/>
        <w:spacing w:line="300" w:lineRule="atLeast"/>
        <w:jc w:val="center"/>
        <w:textAlignment w:val="baseline"/>
        <w:rPr>
          <w:rFonts w:ascii="Arial" w:hAnsi="Arial" w:cs="Arial"/>
          <w:color w:val="1D1D1D"/>
          <w:sz w:val="21"/>
          <w:szCs w:val="21"/>
        </w:rPr>
      </w:pP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14525" cy="1435894"/>
            <wp:effectExtent l="19050" t="0" r="9525" b="0"/>
            <wp:docPr id="22" name="Рисунок 22" descr="http://www.gibdd.ru/mens/peshekhodam/reflector/examples/images/d20.jpg">
              <a:hlinkClick xmlns:a="http://schemas.openxmlformats.org/drawingml/2006/main" r:id="rId42" tooltip="&quot;Накладк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gibdd.ru/mens/peshekhodam/reflector/examples/images/d20.jpg">
                      <a:hlinkClick r:id="rId42" tooltip="&quot;Накладк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6C" w:rsidRPr="00665F19" w:rsidRDefault="00E66A6C" w:rsidP="00E66A6C">
      <w:pPr>
        <w:pStyle w:val="3"/>
        <w:shd w:val="clear" w:color="auto" w:fill="F9FCFD"/>
        <w:spacing w:before="150" w:beforeAutospacing="0" w:after="75" w:afterAutospacing="0" w:line="300" w:lineRule="atLeast"/>
        <w:jc w:val="center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lastRenderedPageBreak/>
        <w:t>НЕСЪЕМНЫЕ СВЕТОВОЗВРАЩАЮЩИЕ ЭЛЕМЕНТЫ</w:t>
      </w:r>
    </w:p>
    <w:p w:rsidR="00E66A6C" w:rsidRDefault="00E66A6C" w:rsidP="00E66A6C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E66A6C">
        <w:rPr>
          <w:sz w:val="28"/>
          <w:szCs w:val="28"/>
        </w:rPr>
        <w:t xml:space="preserve">Несъемные </w:t>
      </w:r>
      <w:proofErr w:type="spellStart"/>
      <w:r w:rsidRPr="00E66A6C">
        <w:rPr>
          <w:sz w:val="28"/>
          <w:szCs w:val="28"/>
        </w:rPr>
        <w:t>световозвращающие</w:t>
      </w:r>
      <w:proofErr w:type="spellEnd"/>
      <w:r w:rsidRPr="00E66A6C">
        <w:rPr>
          <w:sz w:val="28"/>
          <w:szCs w:val="28"/>
        </w:rPr>
        <w:t xml:space="preserve"> элементы на тканевой основе традиционно применяются в спецодежде сотрудников полиции, врачей скорой медицинской помощи, железн</w:t>
      </w:r>
      <w:proofErr w:type="gramStart"/>
      <w:r w:rsidRPr="00E66A6C">
        <w:rPr>
          <w:sz w:val="28"/>
          <w:szCs w:val="28"/>
        </w:rPr>
        <w:t>о-</w:t>
      </w:r>
      <w:proofErr w:type="gramEnd"/>
      <w:r w:rsidRPr="00E66A6C">
        <w:rPr>
          <w:sz w:val="28"/>
          <w:szCs w:val="28"/>
        </w:rPr>
        <w:t xml:space="preserve"> и автодорожных рабочих и многих других. Актуально их применение в детской и подростковой одежде, в спортивной и туристической одежде и обуви. </w:t>
      </w:r>
      <w:proofErr w:type="spellStart"/>
      <w:r w:rsidRPr="00E66A6C">
        <w:rPr>
          <w:sz w:val="28"/>
          <w:szCs w:val="28"/>
        </w:rPr>
        <w:t>Световозвращающие</w:t>
      </w:r>
      <w:proofErr w:type="spellEnd"/>
      <w:r w:rsidRPr="00E66A6C">
        <w:rPr>
          <w:sz w:val="28"/>
          <w:szCs w:val="28"/>
        </w:rPr>
        <w:t xml:space="preserve"> элементы на одежде должны обеспечивать видимость объекта с двух сторон, чтобы человек был виден водителям встречных направлений движения.</w:t>
      </w:r>
    </w:p>
    <w:p w:rsidR="00E66A6C" w:rsidRPr="00E66A6C" w:rsidRDefault="00E66A6C" w:rsidP="00E66A6C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</w:p>
    <w:p w:rsidR="00E66A6C" w:rsidRDefault="00E66A6C" w:rsidP="00665F19">
      <w:pPr>
        <w:shd w:val="clear" w:color="auto" w:fill="F9FCFD"/>
        <w:spacing w:line="300" w:lineRule="atLeast"/>
        <w:textAlignment w:val="baseline"/>
        <w:rPr>
          <w:rStyle w:val="apple-converted-space"/>
          <w:rFonts w:ascii="Arial" w:hAnsi="Arial" w:cs="Arial"/>
          <w:color w:val="1D1D1D"/>
          <w:sz w:val="21"/>
          <w:szCs w:val="21"/>
        </w:rPr>
      </w:pP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435087" cy="1000125"/>
            <wp:effectExtent l="19050" t="0" r="3313" b="0"/>
            <wp:docPr id="25" name="Рисунок 25" descr="http://www.gibdd.ru/mens/peshekhodam/reflector/examples/images/f1.jpg">
              <a:hlinkClick xmlns:a="http://schemas.openxmlformats.org/drawingml/2006/main" r:id="rId44" tooltip="&quot;Световозвращающие лент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ibdd.ru/mens/peshekhodam/reflector/examples/images/f1.jpg">
                      <a:hlinkClick r:id="rId44" tooltip="&quot;Световозвращающие лент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7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1D1D1D"/>
          <w:sz w:val="21"/>
          <w:szCs w:val="21"/>
        </w:rPr>
        <w:t> </w:t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397125" cy="993507"/>
            <wp:effectExtent l="19050" t="0" r="3175" b="0"/>
            <wp:docPr id="26" name="Рисунок 26" descr="http://www.gibdd.ru/mens/peshekhodam/reflector/examples/images/f2.jpg">
              <a:hlinkClick xmlns:a="http://schemas.openxmlformats.org/drawingml/2006/main" r:id="rId46" tooltip="&quot;Световозвращающие ленты комбинированны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ibdd.ru/mens/peshekhodam/reflector/examples/images/f2.jpg">
                      <a:hlinkClick r:id="rId46" tooltip="&quot;Световозвращающие ленты комбинированны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9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857375" cy="2476500"/>
            <wp:effectExtent l="19050" t="0" r="9525" b="0"/>
            <wp:docPr id="43" name="Рисунок 32" descr="http://www.gibdd.ru/mens/peshekhodam/reflector/examples/images/f8.jpg">
              <a:hlinkClick xmlns:a="http://schemas.openxmlformats.org/drawingml/2006/main" r:id="rId48" tooltip="&quot;Термотрансферные световозвращающие элементы (изображения), нанесенные на одежду с помощью утюга или термопрес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gibdd.ru/mens/peshekhodam/reflector/examples/images/f8.jpg">
                      <a:hlinkClick r:id="rId48" tooltip="&quot;Термотрансферные световозвращающие элементы (изображения), нанесенные на одежду с помощью утюга или термопрес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533650" cy="2533650"/>
            <wp:effectExtent l="19050" t="0" r="0" b="0"/>
            <wp:docPr id="44" name="Рисунок 27" descr="http://www.gibdd.ru/mens/peshekhodam/reflector/examples/images/f3.jpg">
              <a:hlinkClick xmlns:a="http://schemas.openxmlformats.org/drawingml/2006/main" r:id="rId50" tooltip="&quot;Полимерные световозвращающие ленты (катафотные ленты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gibdd.ru/mens/peshekhodam/reflector/examples/images/f3.jpg">
                      <a:hlinkClick r:id="rId50" tooltip="&quot;Полимерные световозвращающие ленты (катафотные ленты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371600" cy="2505075"/>
            <wp:effectExtent l="19050" t="0" r="0" b="0"/>
            <wp:docPr id="45" name="Рисунок 31" descr="http://www.gibdd.ru/mens/peshekhodam/reflector/examples/images/f7.jpg">
              <a:hlinkClick xmlns:a="http://schemas.openxmlformats.org/drawingml/2006/main" r:id="rId52" tooltip="&quot;Термотрансферные световозвращающие элементы (изображения), нанесенные на одежду с помощью утюга или термопрес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gibdd.ru/mens/peshekhodam/reflector/examples/images/f7.jpg">
                      <a:hlinkClick r:id="rId52" tooltip="&quot;Термотрансферные световозвращающие элементы (изображения), нанесенные на одежду с помощью утюга или термопрес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809750" cy="2400300"/>
            <wp:effectExtent l="19050" t="0" r="0" b="0"/>
            <wp:docPr id="41" name="Рисунок 29" descr="http://www.gibdd.ru/mens/peshekhodam/reflector/examples/images/f5.jpg">
              <a:hlinkClick xmlns:a="http://schemas.openxmlformats.org/drawingml/2006/main" r:id="rId54" tooltip="&quot;Световозвращающий кант (кедер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gibdd.ru/mens/peshekhodam/reflector/examples/images/f5.jpg">
                      <a:hlinkClick r:id="rId54" tooltip="&quot;Световозвращающий кант (кедер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581275" cy="2581275"/>
            <wp:effectExtent l="19050" t="0" r="9525" b="0"/>
            <wp:docPr id="37" name="Рисунок 28" descr="http://www.gibdd.ru/mens/peshekhodam/reflector/examples/images/f4.jpg">
              <a:hlinkClick xmlns:a="http://schemas.openxmlformats.org/drawingml/2006/main" r:id="rId56" tooltip="&quot;Ранцевые и ременные ленты, строп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ibdd.ru/mens/peshekhodam/reflector/examples/images/f4.jpg">
                      <a:hlinkClick r:id="rId56" tooltip="&quot;Ранцевые и ременные ленты, строп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1D1D1D"/>
          <w:sz w:val="21"/>
          <w:szCs w:val="21"/>
        </w:rPr>
        <w:t> </w:t>
      </w:r>
      <w:r>
        <w:rPr>
          <w:rFonts w:ascii="inherit" w:hAnsi="inherit" w:cs="Arial"/>
          <w:noProof/>
          <w:color w:val="186EA8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863189" cy="1619250"/>
            <wp:effectExtent l="19050" t="0" r="3711" b="0"/>
            <wp:docPr id="38" name="Рисунок 30" descr="http://www.gibdd.ru/mens/peshekhodam/reflector/examples/images/f6.jpg">
              <a:hlinkClick xmlns:a="http://schemas.openxmlformats.org/drawingml/2006/main" r:id="rId58" tooltip="&quot;Шевроны и нашивки со световозвращающим эффект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ibdd.ru/mens/peshekhodam/reflector/examples/images/f6.jpg">
                      <a:hlinkClick r:id="rId58" tooltip="&quot;Шевроны и нашивки со световозвращающим эффект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189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1D1D1D"/>
          <w:sz w:val="21"/>
          <w:szCs w:val="21"/>
        </w:rPr>
        <w:t>    </w:t>
      </w:r>
    </w:p>
    <w:p w:rsidR="00665F19" w:rsidRPr="00665F19" w:rsidRDefault="00665F19" w:rsidP="00665F19">
      <w:pPr>
        <w:pStyle w:val="2"/>
        <w:shd w:val="clear" w:color="auto" w:fill="F9FCFD"/>
        <w:spacing w:before="0" w:after="150" w:line="300" w:lineRule="atLeast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665F19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ПРИНЦИП РАБОТЫ СВЕТОВОЗВРАЩАЮЩИХ МАТЕРИАЛОВ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665F19">
        <w:rPr>
          <w:sz w:val="28"/>
          <w:szCs w:val="28"/>
        </w:rPr>
        <w:t>Световозвращающие</w:t>
      </w:r>
      <w:proofErr w:type="spellEnd"/>
      <w:r w:rsidRPr="00665F19">
        <w:rPr>
          <w:sz w:val="28"/>
          <w:szCs w:val="28"/>
        </w:rPr>
        <w:t xml:space="preserve"> материалы (СВМ) используются для обозначения людей в тёмное время суток, возвращая свет, попавший на них, в направлении обратно к источнику света (эффект </w:t>
      </w:r>
      <w:proofErr w:type="spellStart"/>
      <w:r w:rsidRPr="00665F19">
        <w:rPr>
          <w:sz w:val="28"/>
          <w:szCs w:val="28"/>
        </w:rPr>
        <w:t>световозврата</w:t>
      </w:r>
      <w:proofErr w:type="spellEnd"/>
      <w:r w:rsidRPr="00665F19">
        <w:rPr>
          <w:sz w:val="28"/>
          <w:szCs w:val="28"/>
        </w:rPr>
        <w:t>), становясь ярко-белыми в свете фар автомобиля или другого источника света и обеспечивая видимость объекта более чем за 150 м.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665F19">
        <w:rPr>
          <w:sz w:val="28"/>
          <w:szCs w:val="28"/>
        </w:rPr>
        <w:t>Световозвращатель</w:t>
      </w:r>
      <w:proofErr w:type="spellEnd"/>
      <w:r w:rsidRPr="00665F19">
        <w:rPr>
          <w:sz w:val="28"/>
          <w:szCs w:val="28"/>
        </w:rPr>
        <w:t xml:space="preserve"> представляет собой технологически сложное соединение микроскопических линз, преломляющих световой луч в обратном направлении, отражающего алюминиевого слоя (зеркала) и прочной тканевой основы.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В настоящее время существует 2 </w:t>
      </w:r>
      <w:proofErr w:type="gramStart"/>
      <w:r w:rsidRPr="00665F19">
        <w:rPr>
          <w:sz w:val="28"/>
          <w:szCs w:val="28"/>
        </w:rPr>
        <w:t>основных</w:t>
      </w:r>
      <w:proofErr w:type="gramEnd"/>
      <w:r w:rsidRPr="00665F19">
        <w:rPr>
          <w:sz w:val="28"/>
          <w:szCs w:val="28"/>
        </w:rPr>
        <w:t xml:space="preserve"> типа </w:t>
      </w:r>
      <w:proofErr w:type="spellStart"/>
      <w:r w:rsidRPr="00665F19">
        <w:rPr>
          <w:sz w:val="28"/>
          <w:szCs w:val="28"/>
        </w:rPr>
        <w:t>микролинз</w:t>
      </w:r>
      <w:proofErr w:type="spellEnd"/>
      <w:r w:rsidRPr="00665F19">
        <w:rPr>
          <w:sz w:val="28"/>
          <w:szCs w:val="28"/>
        </w:rPr>
        <w:t xml:space="preserve"> - это мельчайшие стеклянные шарики и </w:t>
      </w:r>
      <w:proofErr w:type="spellStart"/>
      <w:r w:rsidRPr="00665F19">
        <w:rPr>
          <w:sz w:val="28"/>
          <w:szCs w:val="28"/>
        </w:rPr>
        <w:t>микропризмы</w:t>
      </w:r>
      <w:proofErr w:type="spellEnd"/>
      <w:r w:rsidRPr="00665F19">
        <w:rPr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85"/>
        <w:gridCol w:w="3647"/>
      </w:tblGrid>
      <w:tr w:rsidR="00665F19" w:rsidRPr="00665F19" w:rsidTr="00665F1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 w:rsidP="00665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85825"/>
                  <wp:effectExtent l="19050" t="0" r="0" b="0"/>
                  <wp:docPr id="63" name="Рисунок 63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 </w:t>
            </w:r>
            <w:proofErr w:type="spellStart"/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85825"/>
                  <wp:effectExtent l="19050" t="0" r="0" b="0"/>
                  <wp:docPr id="64" name="Рисунок 64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 </w:t>
            </w:r>
            <w:proofErr w:type="spellStart"/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микропризмами</w:t>
            </w:r>
            <w:proofErr w:type="spellEnd"/>
          </w:p>
        </w:tc>
      </w:tr>
    </w:tbl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И в том и другом случае свет от источника падает на поверхность </w:t>
      </w:r>
      <w:proofErr w:type="spellStart"/>
      <w:r w:rsidRPr="00665F19">
        <w:rPr>
          <w:sz w:val="28"/>
          <w:szCs w:val="28"/>
        </w:rPr>
        <w:t>микролинзы</w:t>
      </w:r>
      <w:proofErr w:type="spellEnd"/>
      <w:r w:rsidRPr="00665F19">
        <w:rPr>
          <w:sz w:val="28"/>
          <w:szCs w:val="28"/>
        </w:rPr>
        <w:t>, преломляется, отражается от внутренней поверхности и возвращается к источнику. Этим достигается оптический эффект возвращения светового потока.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665F19">
        <w:rPr>
          <w:sz w:val="28"/>
          <w:szCs w:val="28"/>
        </w:rPr>
        <w:t>Микропризмы</w:t>
      </w:r>
      <w:proofErr w:type="spellEnd"/>
      <w:r w:rsidRPr="00665F19">
        <w:rPr>
          <w:sz w:val="28"/>
          <w:szCs w:val="28"/>
        </w:rPr>
        <w:t xml:space="preserve"> используются на полимерных материалах, в плёнках – это в основном ПВХ, т.к. точный микрорельеф пирамид на ПВХ в отличие от других полимеров можно нанести без воздействия высокой температуры, по специальным, присущим ПВХ, технологиям. По сути ПВХ </w:t>
      </w:r>
      <w:proofErr w:type="spellStart"/>
      <w:r w:rsidRPr="00665F19">
        <w:rPr>
          <w:sz w:val="28"/>
          <w:szCs w:val="28"/>
        </w:rPr>
        <w:t>микрокатафотные</w:t>
      </w:r>
      <w:proofErr w:type="spellEnd"/>
      <w:r w:rsidRPr="00665F19">
        <w:rPr>
          <w:sz w:val="28"/>
          <w:szCs w:val="28"/>
        </w:rPr>
        <w:t xml:space="preserve"> плёнки работают аналогично пластмассовым автомобильным, </w:t>
      </w:r>
      <w:proofErr w:type="spellStart"/>
      <w:r w:rsidRPr="00665F19">
        <w:rPr>
          <w:sz w:val="28"/>
          <w:szCs w:val="28"/>
        </w:rPr>
        <w:t>мот</w:t>
      </w:r>
      <w:proofErr w:type="gramStart"/>
      <w:r w:rsidRPr="00665F19">
        <w:rPr>
          <w:sz w:val="28"/>
          <w:szCs w:val="28"/>
        </w:rPr>
        <w:t>о</w:t>
      </w:r>
      <w:proofErr w:type="spellEnd"/>
      <w:r w:rsidRPr="00665F19">
        <w:rPr>
          <w:sz w:val="28"/>
          <w:szCs w:val="28"/>
        </w:rPr>
        <w:t>-</w:t>
      </w:r>
      <w:proofErr w:type="gramEnd"/>
      <w:r w:rsidRPr="00665F19">
        <w:rPr>
          <w:sz w:val="28"/>
          <w:szCs w:val="28"/>
        </w:rPr>
        <w:t xml:space="preserve"> и </w:t>
      </w:r>
      <w:proofErr w:type="spellStart"/>
      <w:r w:rsidRPr="00665F19">
        <w:rPr>
          <w:sz w:val="28"/>
          <w:szCs w:val="28"/>
        </w:rPr>
        <w:t>велокатафотам</w:t>
      </w:r>
      <w:proofErr w:type="spellEnd"/>
      <w:r w:rsidRPr="00665F19">
        <w:rPr>
          <w:sz w:val="28"/>
          <w:szCs w:val="28"/>
        </w:rPr>
        <w:t>. Там также используются призмы, но не микр</w:t>
      </w:r>
      <w:proofErr w:type="gramStart"/>
      <w:r w:rsidRPr="00665F19">
        <w:rPr>
          <w:sz w:val="28"/>
          <w:szCs w:val="28"/>
        </w:rPr>
        <w:t>о-</w:t>
      </w:r>
      <w:proofErr w:type="gramEnd"/>
      <w:r w:rsidRPr="00665F19">
        <w:rPr>
          <w:sz w:val="28"/>
          <w:szCs w:val="28"/>
        </w:rPr>
        <w:t>, а видимые глазом с его обратной стороны.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На тканные и любые другие материалы, в основном, наносятся стеклянные </w:t>
      </w:r>
      <w:proofErr w:type="spellStart"/>
      <w:r w:rsidRPr="00665F19">
        <w:rPr>
          <w:sz w:val="28"/>
          <w:szCs w:val="28"/>
        </w:rPr>
        <w:t>микрошарики</w:t>
      </w:r>
      <w:proofErr w:type="spellEnd"/>
      <w:r w:rsidRPr="00665F19">
        <w:rPr>
          <w:sz w:val="28"/>
          <w:szCs w:val="28"/>
        </w:rPr>
        <w:t xml:space="preserve"> с алюминиевым слоем отражателя (эффект зеркала). Шарики, преломляющие свет, и алюминиевый отражающий слой дают лучший световой эффект, но уступают </w:t>
      </w:r>
      <w:proofErr w:type="spellStart"/>
      <w:r w:rsidRPr="00665F19">
        <w:rPr>
          <w:sz w:val="28"/>
          <w:szCs w:val="28"/>
        </w:rPr>
        <w:t>ПВХ-катафотам</w:t>
      </w:r>
      <w:proofErr w:type="spellEnd"/>
      <w:r w:rsidRPr="00665F19">
        <w:rPr>
          <w:sz w:val="28"/>
          <w:szCs w:val="28"/>
        </w:rPr>
        <w:t xml:space="preserve"> в износостойкости и по некоторым другим эксплуатационным характеристикам, поскольку полимерная плёнка однородна и пирамиды находятся изнутри, а стеклянные шарики наносятся на материал полимерным клеем и находятся на наружной рабочей поверхности.</w:t>
      </w: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Default="00665F19" w:rsidP="00665F19">
      <w:pPr>
        <w:pStyle w:val="3"/>
        <w:shd w:val="clear" w:color="auto" w:fill="F4F8FA"/>
        <w:spacing w:before="0" w:beforeAutospacing="0" w:after="0" w:afterAutospacing="0"/>
        <w:jc w:val="center"/>
        <w:textAlignment w:val="baseline"/>
        <w:rPr>
          <w:rFonts w:ascii="inherit" w:hAnsi="inherit"/>
          <w:caps/>
          <w:color w:val="083A5D"/>
        </w:rPr>
      </w:pPr>
    </w:p>
    <w:p w:rsidR="00665F19" w:rsidRPr="00665F19" w:rsidRDefault="00665F19" w:rsidP="00665F19">
      <w:pPr>
        <w:pStyle w:val="2"/>
        <w:shd w:val="clear" w:color="auto" w:fill="F9FCFD"/>
        <w:spacing w:before="0" w:after="150" w:line="300" w:lineRule="atLeast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665F19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РАЗЛИЧИЯ СВЕТОВОЗВРАЩАЮЩИХ МАТЕРИАЛОВ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Множество </w:t>
      </w:r>
      <w:proofErr w:type="spellStart"/>
      <w:r w:rsidRPr="00665F19">
        <w:rPr>
          <w:sz w:val="28"/>
          <w:szCs w:val="28"/>
        </w:rPr>
        <w:t>световозвращающих</w:t>
      </w:r>
      <w:proofErr w:type="spellEnd"/>
      <w:r w:rsidRPr="00665F19">
        <w:rPr>
          <w:sz w:val="28"/>
          <w:szCs w:val="28"/>
        </w:rPr>
        <w:t xml:space="preserve"> элементов изготавливается из материалов, имеющих не так много различий. </w:t>
      </w:r>
      <w:proofErr w:type="spellStart"/>
      <w:r w:rsidRPr="00665F19">
        <w:rPr>
          <w:sz w:val="28"/>
          <w:szCs w:val="28"/>
        </w:rPr>
        <w:t>Световозвращающие</w:t>
      </w:r>
      <w:proofErr w:type="spellEnd"/>
      <w:r w:rsidRPr="00665F19">
        <w:rPr>
          <w:sz w:val="28"/>
          <w:szCs w:val="28"/>
        </w:rPr>
        <w:t xml:space="preserve"> элементы отличаются по типу оптического элемента, коэффициенту </w:t>
      </w:r>
      <w:proofErr w:type="spellStart"/>
      <w:r w:rsidRPr="00665F19">
        <w:rPr>
          <w:sz w:val="28"/>
          <w:szCs w:val="28"/>
        </w:rPr>
        <w:t>световозвращения</w:t>
      </w:r>
      <w:proofErr w:type="spellEnd"/>
      <w:r w:rsidRPr="00665F19">
        <w:rPr>
          <w:sz w:val="28"/>
          <w:szCs w:val="28"/>
        </w:rPr>
        <w:t xml:space="preserve">, площади </w:t>
      </w:r>
      <w:proofErr w:type="spellStart"/>
      <w:r w:rsidRPr="00665F19">
        <w:rPr>
          <w:sz w:val="28"/>
          <w:szCs w:val="28"/>
        </w:rPr>
        <w:t>световозвращающей</w:t>
      </w:r>
      <w:proofErr w:type="spellEnd"/>
      <w:r w:rsidRPr="00665F19">
        <w:rPr>
          <w:sz w:val="28"/>
          <w:szCs w:val="28"/>
        </w:rPr>
        <w:t xml:space="preserve"> поверхности, а также химическим составляющим, имеющим значение при определении области применения </w:t>
      </w:r>
      <w:proofErr w:type="spellStart"/>
      <w:r w:rsidRPr="00665F19">
        <w:rPr>
          <w:sz w:val="28"/>
          <w:szCs w:val="28"/>
        </w:rPr>
        <w:t>световозвращателей</w:t>
      </w:r>
      <w:proofErr w:type="spellEnd"/>
      <w:r w:rsidRPr="00665F19">
        <w:rPr>
          <w:sz w:val="28"/>
          <w:szCs w:val="28"/>
        </w:rPr>
        <w:t>.</w:t>
      </w:r>
    </w:p>
    <w:p w:rsidR="00665F19" w:rsidRPr="00665F19" w:rsidRDefault="00665F19" w:rsidP="00665F19">
      <w:pPr>
        <w:pStyle w:val="3"/>
        <w:shd w:val="clear" w:color="auto" w:fill="F9FCFD"/>
        <w:spacing w:before="150" w:beforeAutospacing="0" w:after="75" w:afterAutospacing="0" w:line="300" w:lineRule="atLeast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t>ТИПЫ ОПТИЧЕСКИХ ЭЛЕМЕНТОВ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665F19">
        <w:rPr>
          <w:sz w:val="28"/>
          <w:szCs w:val="28"/>
        </w:rPr>
        <w:t>Световозвращающие</w:t>
      </w:r>
      <w:proofErr w:type="spellEnd"/>
      <w:r w:rsidRPr="00665F19">
        <w:rPr>
          <w:sz w:val="28"/>
          <w:szCs w:val="28"/>
        </w:rPr>
        <w:t xml:space="preserve"> материалы различаются по типу основы материала (нейлон, хлопок-полиэстер, </w:t>
      </w:r>
      <w:proofErr w:type="spellStart"/>
      <w:r w:rsidRPr="00665F19">
        <w:rPr>
          <w:sz w:val="28"/>
          <w:szCs w:val="28"/>
        </w:rPr>
        <w:t>термоклеевая</w:t>
      </w:r>
      <w:proofErr w:type="spellEnd"/>
      <w:r w:rsidRPr="00665F19">
        <w:rPr>
          <w:sz w:val="28"/>
          <w:szCs w:val="28"/>
        </w:rPr>
        <w:t>, кожзаменители, полиэтилен, ПВХ, бумага и др.).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В основном используются тканевая основа (нейлон, хлопок-полиэстер) и </w:t>
      </w:r>
      <w:proofErr w:type="spellStart"/>
      <w:r w:rsidRPr="00665F19">
        <w:rPr>
          <w:sz w:val="28"/>
          <w:szCs w:val="28"/>
        </w:rPr>
        <w:t>ПВХ-основа</w:t>
      </w:r>
      <w:proofErr w:type="spellEnd"/>
      <w:r w:rsidRPr="00665F19">
        <w:rPr>
          <w:sz w:val="28"/>
          <w:szCs w:val="28"/>
        </w:rPr>
        <w:t xml:space="preserve"> (поливинилхлорид или полиэтилентерефталат).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85"/>
        <w:gridCol w:w="3647"/>
      </w:tblGrid>
      <w:tr w:rsidR="00665F19" w:rsidRPr="00665F19" w:rsidTr="00665F1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85825"/>
                  <wp:effectExtent l="19050" t="0" r="0" b="0"/>
                  <wp:docPr id="73" name="Рисунок 73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 </w:t>
            </w:r>
            <w:proofErr w:type="spellStart"/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885825"/>
                  <wp:effectExtent l="19050" t="0" r="0" b="0"/>
                  <wp:docPr id="74" name="Рисунок 74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 </w:t>
            </w:r>
            <w:proofErr w:type="spellStart"/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микропризмами</w:t>
            </w:r>
            <w:proofErr w:type="spellEnd"/>
          </w:p>
        </w:tc>
      </w:tr>
    </w:tbl>
    <w:p w:rsidR="00665F19" w:rsidRPr="00665F19" w:rsidRDefault="00665F19" w:rsidP="00665F19">
      <w:pPr>
        <w:pStyle w:val="3"/>
        <w:shd w:val="clear" w:color="auto" w:fill="F9FCFD"/>
        <w:spacing w:before="150" w:beforeAutospacing="0" w:after="75" w:afterAutospacing="0" w:line="300" w:lineRule="atLeast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t>КОЭФФИЦИЕНТ СВЕТОВОЗВРАЩЕНИЯ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Коэффициент </w:t>
      </w:r>
      <w:proofErr w:type="spellStart"/>
      <w:r w:rsidRPr="00665F19">
        <w:rPr>
          <w:sz w:val="28"/>
          <w:szCs w:val="28"/>
        </w:rPr>
        <w:t>световозвращения</w:t>
      </w:r>
      <w:proofErr w:type="spellEnd"/>
      <w:r w:rsidRPr="00665F19">
        <w:rPr>
          <w:sz w:val="28"/>
          <w:szCs w:val="28"/>
        </w:rPr>
        <w:t xml:space="preserve"> (КС) измеряется в </w:t>
      </w:r>
      <w:proofErr w:type="spellStart"/>
      <w:r w:rsidRPr="00665F19">
        <w:rPr>
          <w:sz w:val="28"/>
          <w:szCs w:val="28"/>
        </w:rPr>
        <w:t>cd</w:t>
      </w:r>
      <w:proofErr w:type="spellEnd"/>
      <w:r w:rsidRPr="00665F19">
        <w:rPr>
          <w:sz w:val="28"/>
          <w:szCs w:val="28"/>
        </w:rPr>
        <w:t>/</w:t>
      </w:r>
      <w:proofErr w:type="spellStart"/>
      <w:r w:rsidRPr="00665F19">
        <w:rPr>
          <w:sz w:val="28"/>
          <w:szCs w:val="28"/>
        </w:rPr>
        <w:t>lx</w:t>
      </w:r>
      <w:proofErr w:type="spellEnd"/>
      <w:r w:rsidRPr="00665F19">
        <w:rPr>
          <w:sz w:val="28"/>
          <w:szCs w:val="28"/>
        </w:rPr>
        <w:t>*m</w:t>
      </w:r>
      <w:r w:rsidRPr="00665F19">
        <w:rPr>
          <w:sz w:val="28"/>
          <w:szCs w:val="28"/>
          <w:bdr w:val="none" w:sz="0" w:space="0" w:color="auto" w:frame="1"/>
          <w:vertAlign w:val="superscript"/>
        </w:rPr>
        <w:t>2</w:t>
      </w:r>
      <w:r w:rsidRPr="00665F19">
        <w:rPr>
          <w:rStyle w:val="apple-converted-space"/>
          <w:sz w:val="28"/>
          <w:szCs w:val="28"/>
        </w:rPr>
        <w:t> </w:t>
      </w:r>
      <w:r w:rsidRPr="00665F19">
        <w:rPr>
          <w:sz w:val="28"/>
          <w:szCs w:val="28"/>
        </w:rPr>
        <w:t xml:space="preserve">(кандела/люкс*метр квадратный). </w:t>
      </w:r>
      <w:proofErr w:type="spellStart"/>
      <w:r w:rsidRPr="00665F19">
        <w:rPr>
          <w:sz w:val="28"/>
          <w:szCs w:val="28"/>
        </w:rPr>
        <w:t>Световозвращающие</w:t>
      </w:r>
      <w:proofErr w:type="spellEnd"/>
      <w:r w:rsidRPr="00665F19">
        <w:rPr>
          <w:sz w:val="28"/>
          <w:szCs w:val="28"/>
        </w:rPr>
        <w:t xml:space="preserve"> материалы делятся на четыре группы по коэффициенту </w:t>
      </w:r>
      <w:proofErr w:type="spellStart"/>
      <w:r w:rsidRPr="00665F19">
        <w:rPr>
          <w:sz w:val="28"/>
          <w:szCs w:val="28"/>
        </w:rPr>
        <w:t>световозвращения</w:t>
      </w:r>
      <w:proofErr w:type="spellEnd"/>
      <w:r w:rsidRPr="00665F19">
        <w:rPr>
          <w:sz w:val="28"/>
          <w:szCs w:val="28"/>
        </w:rPr>
        <w:t>:</w:t>
      </w:r>
    </w:p>
    <w:p w:rsidR="00665F19" w:rsidRPr="00665F19" w:rsidRDefault="00665F19" w:rsidP="00665F19">
      <w:pPr>
        <w:numPr>
          <w:ilvl w:val="0"/>
          <w:numId w:val="4"/>
        </w:numPr>
        <w:shd w:val="clear" w:color="auto" w:fill="F9FCFD"/>
        <w:spacing w:after="0" w:line="300" w:lineRule="atLeast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665F19">
        <w:rPr>
          <w:rFonts w:ascii="Times New Roman" w:hAnsi="Times New Roman" w:cs="Times New Roman"/>
          <w:sz w:val="28"/>
          <w:szCs w:val="28"/>
        </w:rPr>
        <w:t xml:space="preserve">Сверхвысокий КС &gt; 600 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*m</w:t>
      </w:r>
      <w:r w:rsidRPr="00665F19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</w:p>
    <w:p w:rsidR="00665F19" w:rsidRPr="00665F19" w:rsidRDefault="00665F19" w:rsidP="00665F19">
      <w:pPr>
        <w:numPr>
          <w:ilvl w:val="0"/>
          <w:numId w:val="4"/>
        </w:numPr>
        <w:shd w:val="clear" w:color="auto" w:fill="F9FCFD"/>
        <w:spacing w:after="0" w:line="300" w:lineRule="atLeast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665F19">
        <w:rPr>
          <w:rFonts w:ascii="Times New Roman" w:hAnsi="Times New Roman" w:cs="Times New Roman"/>
          <w:sz w:val="28"/>
          <w:szCs w:val="28"/>
        </w:rPr>
        <w:t xml:space="preserve">Высокий КС 450-600 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*m</w:t>
      </w:r>
      <w:r w:rsidRPr="00665F19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</w:p>
    <w:p w:rsidR="00665F19" w:rsidRPr="00665F19" w:rsidRDefault="00665F19" w:rsidP="00665F19">
      <w:pPr>
        <w:numPr>
          <w:ilvl w:val="0"/>
          <w:numId w:val="4"/>
        </w:numPr>
        <w:shd w:val="clear" w:color="auto" w:fill="F9FCFD"/>
        <w:spacing w:after="0" w:line="300" w:lineRule="atLeast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665F19">
        <w:rPr>
          <w:rFonts w:ascii="Times New Roman" w:hAnsi="Times New Roman" w:cs="Times New Roman"/>
          <w:sz w:val="28"/>
          <w:szCs w:val="28"/>
        </w:rPr>
        <w:t xml:space="preserve">Средний КС 330-450 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*m</w:t>
      </w:r>
      <w:r w:rsidRPr="00665F19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</w:p>
    <w:p w:rsidR="00665F19" w:rsidRPr="00665F19" w:rsidRDefault="00665F19" w:rsidP="00665F19">
      <w:pPr>
        <w:numPr>
          <w:ilvl w:val="0"/>
          <w:numId w:val="4"/>
        </w:numPr>
        <w:shd w:val="clear" w:color="auto" w:fill="F9FCFD"/>
        <w:spacing w:after="0" w:line="300" w:lineRule="atLeast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665F19">
        <w:rPr>
          <w:rFonts w:ascii="Times New Roman" w:hAnsi="Times New Roman" w:cs="Times New Roman"/>
          <w:sz w:val="28"/>
          <w:szCs w:val="28"/>
        </w:rPr>
        <w:t xml:space="preserve">Низкий КС &lt; 330 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65F1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665F19">
        <w:rPr>
          <w:rFonts w:ascii="Times New Roman" w:hAnsi="Times New Roman" w:cs="Times New Roman"/>
          <w:sz w:val="28"/>
          <w:szCs w:val="28"/>
        </w:rPr>
        <w:t>*m</w:t>
      </w:r>
      <w:r w:rsidRPr="00665F19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</w:p>
    <w:p w:rsidR="00665F19" w:rsidRPr="00665F19" w:rsidRDefault="00665F19" w:rsidP="00665F19">
      <w:pPr>
        <w:pStyle w:val="3"/>
        <w:shd w:val="clear" w:color="auto" w:fill="F9FCFD"/>
        <w:spacing w:before="150" w:beforeAutospacing="0" w:after="75" w:afterAutospacing="0" w:line="300" w:lineRule="atLeast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t>ПЛОЩАДЬ СВЕТОВОЗВРАЩАЮЩИХ ЭЛЕМЕНТОВ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Большое значение имеет не только коэффициент </w:t>
      </w:r>
      <w:proofErr w:type="spellStart"/>
      <w:r w:rsidRPr="00665F19">
        <w:rPr>
          <w:sz w:val="28"/>
          <w:szCs w:val="28"/>
        </w:rPr>
        <w:t>световозвращения</w:t>
      </w:r>
      <w:proofErr w:type="spellEnd"/>
      <w:r w:rsidRPr="00665F19">
        <w:rPr>
          <w:sz w:val="28"/>
          <w:szCs w:val="28"/>
        </w:rPr>
        <w:t xml:space="preserve">. Площадь </w:t>
      </w:r>
      <w:proofErr w:type="spellStart"/>
      <w:r w:rsidRPr="00665F19">
        <w:rPr>
          <w:sz w:val="28"/>
          <w:szCs w:val="28"/>
        </w:rPr>
        <w:t>световозвращателя</w:t>
      </w:r>
      <w:proofErr w:type="spellEnd"/>
      <w:r w:rsidRPr="00665F19">
        <w:rPr>
          <w:sz w:val="28"/>
          <w:szCs w:val="28"/>
        </w:rPr>
        <w:t xml:space="preserve"> также прямо влияет то, как хорошо он будет заметен.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То, как будет заметен </w:t>
      </w:r>
      <w:proofErr w:type="spellStart"/>
      <w:r w:rsidRPr="00665F19">
        <w:rPr>
          <w:sz w:val="28"/>
          <w:szCs w:val="28"/>
        </w:rPr>
        <w:t>световозвращатель</w:t>
      </w:r>
      <w:proofErr w:type="spellEnd"/>
      <w:r w:rsidRPr="00665F19">
        <w:rPr>
          <w:sz w:val="28"/>
          <w:szCs w:val="28"/>
        </w:rPr>
        <w:t xml:space="preserve">, прямо зависит от его площади, но также большое значение имеет и коэффициент </w:t>
      </w:r>
      <w:proofErr w:type="spellStart"/>
      <w:r w:rsidRPr="00665F19">
        <w:rPr>
          <w:sz w:val="28"/>
          <w:szCs w:val="28"/>
        </w:rPr>
        <w:t>световозвращения</w:t>
      </w:r>
      <w:proofErr w:type="spellEnd"/>
      <w:r w:rsidRPr="00665F19">
        <w:rPr>
          <w:sz w:val="28"/>
          <w:szCs w:val="28"/>
        </w:rPr>
        <w:t>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Исходя из международных стандартов, площадь </w:t>
      </w:r>
      <w:proofErr w:type="spellStart"/>
      <w:r w:rsidRPr="00665F19">
        <w:rPr>
          <w:sz w:val="28"/>
          <w:szCs w:val="28"/>
        </w:rPr>
        <w:t>световозвращающего</w:t>
      </w:r>
      <w:proofErr w:type="spellEnd"/>
      <w:r w:rsidRPr="00665F19">
        <w:rPr>
          <w:sz w:val="28"/>
          <w:szCs w:val="28"/>
        </w:rPr>
        <w:t xml:space="preserve"> элемента должна составлять от 15 см</w:t>
      </w:r>
      <w:proofErr w:type="gramStart"/>
      <w:r w:rsidRPr="00665F19">
        <w:rPr>
          <w:sz w:val="28"/>
          <w:szCs w:val="28"/>
          <w:bdr w:val="none" w:sz="0" w:space="0" w:color="auto" w:frame="1"/>
          <w:vertAlign w:val="superscript"/>
        </w:rPr>
        <w:t>2</w:t>
      </w:r>
      <w:proofErr w:type="gramEnd"/>
      <w:r w:rsidRPr="00665F19">
        <w:rPr>
          <w:rStyle w:val="apple-converted-space"/>
          <w:sz w:val="28"/>
          <w:szCs w:val="28"/>
        </w:rPr>
        <w:t> </w:t>
      </w:r>
      <w:r w:rsidRPr="00665F19">
        <w:rPr>
          <w:sz w:val="28"/>
          <w:szCs w:val="28"/>
        </w:rPr>
        <w:t>до 50 cм</w:t>
      </w:r>
      <w:r w:rsidRPr="00665F19">
        <w:rPr>
          <w:sz w:val="28"/>
          <w:szCs w:val="28"/>
          <w:bdr w:val="none" w:sz="0" w:space="0" w:color="auto" w:frame="1"/>
          <w:vertAlign w:val="superscript"/>
        </w:rPr>
        <w:t>2</w:t>
      </w:r>
      <w:r w:rsidRPr="00665F19">
        <w:rPr>
          <w:sz w:val="28"/>
          <w:szCs w:val="28"/>
        </w:rPr>
        <w:t>, толщина не более 1 см.</w:t>
      </w:r>
    </w:p>
    <w:p w:rsidR="00665F19" w:rsidRPr="00665F19" w:rsidRDefault="00665F19" w:rsidP="00665F19">
      <w:pPr>
        <w:pStyle w:val="3"/>
        <w:shd w:val="clear" w:color="auto" w:fill="F9FCFD"/>
        <w:spacing w:before="150" w:beforeAutospacing="0" w:after="75" w:afterAutospacing="0" w:line="300" w:lineRule="atLeast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t>ТИП ОСНОВЫ СВЕТОВОЗВРАЩАЮЩИХ ЭЛЕМЕНТОВ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В идеале </w:t>
      </w:r>
      <w:proofErr w:type="gramStart"/>
      <w:r w:rsidRPr="00665F19">
        <w:rPr>
          <w:sz w:val="28"/>
          <w:szCs w:val="28"/>
        </w:rPr>
        <w:t>съемные</w:t>
      </w:r>
      <w:proofErr w:type="gramEnd"/>
      <w:r w:rsidRPr="00665F19">
        <w:rPr>
          <w:sz w:val="28"/>
          <w:szCs w:val="28"/>
        </w:rPr>
        <w:t xml:space="preserve"> и несъемные </w:t>
      </w:r>
      <w:proofErr w:type="spellStart"/>
      <w:r w:rsidRPr="00665F19">
        <w:rPr>
          <w:sz w:val="28"/>
          <w:szCs w:val="28"/>
        </w:rPr>
        <w:t>светоовозвращатели</w:t>
      </w:r>
      <w:proofErr w:type="spellEnd"/>
      <w:r w:rsidRPr="00665F19">
        <w:rPr>
          <w:sz w:val="28"/>
          <w:szCs w:val="28"/>
        </w:rPr>
        <w:t xml:space="preserve"> надо сочетать. Полоски на одежде - это несъемные светоотражатели. Дополним их подвесками на </w:t>
      </w:r>
      <w:proofErr w:type="spellStart"/>
      <w:r w:rsidRPr="00665F19">
        <w:rPr>
          <w:sz w:val="28"/>
          <w:szCs w:val="28"/>
        </w:rPr>
        <w:t>шнурочках</w:t>
      </w:r>
      <w:proofErr w:type="spellEnd"/>
      <w:r w:rsidRPr="00665F19">
        <w:rPr>
          <w:sz w:val="28"/>
          <w:szCs w:val="28"/>
        </w:rPr>
        <w:t xml:space="preserve">, или наденем на запястье браслет на липучке или </w:t>
      </w:r>
      <w:proofErr w:type="spellStart"/>
      <w:r w:rsidRPr="00665F19">
        <w:rPr>
          <w:sz w:val="28"/>
          <w:szCs w:val="28"/>
        </w:rPr>
        <w:t>самозастегивающийся</w:t>
      </w:r>
      <w:proofErr w:type="spellEnd"/>
      <w:r w:rsidRPr="00665F19">
        <w:rPr>
          <w:sz w:val="28"/>
          <w:szCs w:val="28"/>
        </w:rPr>
        <w:t xml:space="preserve"> браслет на пружинке, приклеим наклейки.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По утверждению специалистов, самое подходящее место, где стоит разместить </w:t>
      </w:r>
      <w:proofErr w:type="spellStart"/>
      <w:r w:rsidRPr="00665F19">
        <w:rPr>
          <w:sz w:val="28"/>
          <w:szCs w:val="28"/>
        </w:rPr>
        <w:t>световозвращатель</w:t>
      </w:r>
      <w:proofErr w:type="spellEnd"/>
      <w:r w:rsidRPr="00665F19">
        <w:rPr>
          <w:sz w:val="28"/>
          <w:szCs w:val="28"/>
        </w:rPr>
        <w:t xml:space="preserve"> – это грудь и бёдра, но чаще люди предпочитают прикреплять </w:t>
      </w:r>
      <w:proofErr w:type="spellStart"/>
      <w:r w:rsidRPr="00665F19">
        <w:rPr>
          <w:sz w:val="28"/>
          <w:szCs w:val="28"/>
        </w:rPr>
        <w:t>световозвращатели</w:t>
      </w:r>
      <w:proofErr w:type="spellEnd"/>
      <w:r w:rsidRPr="00665F19">
        <w:rPr>
          <w:sz w:val="28"/>
          <w:szCs w:val="28"/>
        </w:rPr>
        <w:t xml:space="preserve"> на кисти рук, свои портфели </w:t>
      </w:r>
      <w:r w:rsidRPr="00665F19">
        <w:rPr>
          <w:sz w:val="28"/>
          <w:szCs w:val="28"/>
        </w:rPr>
        <w:lastRenderedPageBreak/>
        <w:t xml:space="preserve">или сумочки. Самый оптимальный вариант, когда на пешеходе находится как минимум 4 </w:t>
      </w:r>
      <w:proofErr w:type="spellStart"/>
      <w:r w:rsidRPr="00665F19">
        <w:rPr>
          <w:sz w:val="28"/>
          <w:szCs w:val="28"/>
        </w:rPr>
        <w:t>световозвращателя</w:t>
      </w:r>
      <w:proofErr w:type="spellEnd"/>
      <w:r w:rsidRPr="00665F19">
        <w:rPr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38"/>
        <w:gridCol w:w="2617"/>
      </w:tblGrid>
      <w:tr w:rsidR="00665F19" w:rsidRPr="00665F19" w:rsidTr="00665F1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67200" cy="1676400"/>
                  <wp:effectExtent l="0" t="0" r="0" b="0"/>
                  <wp:docPr id="75" name="Рисунок 75" descr="http://www.gibdd.ru/mens/peshekhodam/reflector/images/text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gibdd.ru/mens/peshekhodam/reflector/images/text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 текстильной основе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5F19" w:rsidRPr="00665F19" w:rsidRDefault="00665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428750"/>
                  <wp:effectExtent l="0" t="0" r="0" b="0"/>
                  <wp:docPr id="76" name="Рисунок 76" descr="http://www.gibdd.ru/mens/peshekhodam/reflector/images/pv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gibdd.ru/mens/peshekhodam/reflector/images/pv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5F1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 поливинилхлоридной основе (ПВХ)</w:t>
            </w:r>
          </w:p>
        </w:tc>
      </w:tr>
    </w:tbl>
    <w:p w:rsidR="00665F19" w:rsidRPr="00665F19" w:rsidRDefault="00665F19" w:rsidP="00665F19">
      <w:pPr>
        <w:pStyle w:val="3"/>
        <w:shd w:val="clear" w:color="auto" w:fill="F9FCFD"/>
        <w:spacing w:before="150" w:beforeAutospacing="0" w:after="75" w:afterAutospacing="0" w:line="300" w:lineRule="atLeast"/>
        <w:textAlignment w:val="baseline"/>
        <w:rPr>
          <w:caps/>
          <w:sz w:val="28"/>
          <w:szCs w:val="28"/>
        </w:rPr>
      </w:pPr>
      <w:r w:rsidRPr="00665F19">
        <w:rPr>
          <w:caps/>
          <w:sz w:val="28"/>
          <w:szCs w:val="28"/>
        </w:rPr>
        <w:t>ОБЛАСТЬ ПРИМЕНЕНИЯ СВЕТОВОЗВРАЩАЮЩИХ МАТЕРИАЛОВ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b/>
          <w:bCs/>
          <w:sz w:val="28"/>
          <w:szCs w:val="28"/>
          <w:bdr w:val="none" w:sz="0" w:space="0" w:color="auto" w:frame="1"/>
        </w:rPr>
        <w:t xml:space="preserve">Не все </w:t>
      </w:r>
      <w:proofErr w:type="spellStart"/>
      <w:r w:rsidRPr="00665F19">
        <w:rPr>
          <w:b/>
          <w:bCs/>
          <w:sz w:val="28"/>
          <w:szCs w:val="28"/>
          <w:bdr w:val="none" w:sz="0" w:space="0" w:color="auto" w:frame="1"/>
        </w:rPr>
        <w:t>световозвращающие</w:t>
      </w:r>
      <w:proofErr w:type="spellEnd"/>
      <w:r w:rsidRPr="00665F19">
        <w:rPr>
          <w:b/>
          <w:bCs/>
          <w:sz w:val="28"/>
          <w:szCs w:val="28"/>
          <w:bdr w:val="none" w:sz="0" w:space="0" w:color="auto" w:frame="1"/>
        </w:rPr>
        <w:t xml:space="preserve"> материалы можно использовать для нанесения на элементы одежды.</w:t>
      </w:r>
      <w:r w:rsidRPr="00665F19">
        <w:rPr>
          <w:rStyle w:val="apple-converted-space"/>
          <w:sz w:val="28"/>
          <w:szCs w:val="28"/>
        </w:rPr>
        <w:t> </w:t>
      </w:r>
      <w:r w:rsidRPr="00665F19">
        <w:rPr>
          <w:sz w:val="28"/>
          <w:szCs w:val="28"/>
        </w:rPr>
        <w:t xml:space="preserve">Следует обратить внимание на наличие </w:t>
      </w:r>
      <w:proofErr w:type="spellStart"/>
      <w:r w:rsidRPr="00665F19">
        <w:rPr>
          <w:sz w:val="28"/>
          <w:szCs w:val="28"/>
        </w:rPr>
        <w:t>фталатов</w:t>
      </w:r>
      <w:proofErr w:type="spellEnd"/>
      <w:r w:rsidRPr="00665F19">
        <w:rPr>
          <w:sz w:val="28"/>
          <w:szCs w:val="28"/>
        </w:rPr>
        <w:t xml:space="preserve"> в материалах </w:t>
      </w:r>
      <w:proofErr w:type="spellStart"/>
      <w:r w:rsidRPr="00665F19">
        <w:rPr>
          <w:sz w:val="28"/>
          <w:szCs w:val="28"/>
        </w:rPr>
        <w:t>световозвращателей</w:t>
      </w:r>
      <w:proofErr w:type="spellEnd"/>
      <w:r w:rsidRPr="00665F19">
        <w:rPr>
          <w:sz w:val="28"/>
          <w:szCs w:val="28"/>
        </w:rPr>
        <w:t>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665F19">
        <w:rPr>
          <w:b/>
          <w:bCs/>
          <w:sz w:val="28"/>
          <w:szCs w:val="28"/>
          <w:bdr w:val="none" w:sz="0" w:space="0" w:color="auto" w:frame="1"/>
        </w:rPr>
        <w:t>Фталаты</w:t>
      </w:r>
      <w:proofErr w:type="spellEnd"/>
      <w:r w:rsidRPr="00665F19">
        <w:rPr>
          <w:rStyle w:val="apple-converted-space"/>
          <w:sz w:val="28"/>
          <w:szCs w:val="28"/>
        </w:rPr>
        <w:t> </w:t>
      </w:r>
      <w:r w:rsidRPr="00665F19">
        <w:rPr>
          <w:sz w:val="28"/>
          <w:szCs w:val="28"/>
        </w:rPr>
        <w:t>– это химические вещества, это соли и эфиры фталевой (ортофталевой) кислоты, которые благодаря своей низкой стоимости, очень широко используются в промышленности для придания мягкости, прочности, гибкости и эластичности, пластиковым изделиям.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Область применения </w:t>
      </w:r>
      <w:proofErr w:type="spellStart"/>
      <w:r w:rsidRPr="00665F19">
        <w:rPr>
          <w:sz w:val="28"/>
          <w:szCs w:val="28"/>
        </w:rPr>
        <w:t>фталатов</w:t>
      </w:r>
      <w:proofErr w:type="spellEnd"/>
      <w:r w:rsidRPr="00665F19">
        <w:rPr>
          <w:sz w:val="28"/>
          <w:szCs w:val="28"/>
        </w:rPr>
        <w:t xml:space="preserve"> весьма обширна, так как этот химический компонент входит в основной состав многих изделий из пластика. Это значит, что мы контактируем с </w:t>
      </w:r>
      <w:proofErr w:type="spellStart"/>
      <w:r w:rsidRPr="00665F19">
        <w:rPr>
          <w:sz w:val="28"/>
          <w:szCs w:val="28"/>
        </w:rPr>
        <w:t>фталатами</w:t>
      </w:r>
      <w:proofErr w:type="spellEnd"/>
      <w:r w:rsidRPr="00665F19">
        <w:rPr>
          <w:sz w:val="28"/>
          <w:szCs w:val="28"/>
        </w:rPr>
        <w:t xml:space="preserve"> ежедневно, а они вредны для человеческого организма.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Производители не всегда указывают на этикетках информацию о содержании </w:t>
      </w:r>
      <w:proofErr w:type="spellStart"/>
      <w:r w:rsidRPr="00665F19">
        <w:rPr>
          <w:sz w:val="28"/>
          <w:szCs w:val="28"/>
        </w:rPr>
        <w:t>фталатов</w:t>
      </w:r>
      <w:proofErr w:type="spellEnd"/>
      <w:r w:rsidRPr="00665F19">
        <w:rPr>
          <w:sz w:val="28"/>
          <w:szCs w:val="28"/>
        </w:rPr>
        <w:t xml:space="preserve"> в товарах, поэтому приобретайте изделия от проверенных производителей.</w:t>
      </w:r>
    </w:p>
    <w:p w:rsidR="00665F19" w:rsidRPr="00665F19" w:rsidRDefault="00665F19" w:rsidP="00665F19">
      <w:pPr>
        <w:pStyle w:val="a3"/>
        <w:shd w:val="clear" w:color="auto" w:fill="F9FCFD"/>
        <w:spacing w:before="0" w:beforeAutospacing="0" w:after="0" w:afterAutospacing="0" w:line="300" w:lineRule="atLeast"/>
        <w:ind w:firstLine="480"/>
        <w:jc w:val="both"/>
        <w:textAlignment w:val="baseline"/>
        <w:rPr>
          <w:sz w:val="28"/>
          <w:szCs w:val="28"/>
        </w:rPr>
      </w:pPr>
      <w:r w:rsidRPr="00665F19">
        <w:rPr>
          <w:sz w:val="28"/>
          <w:szCs w:val="28"/>
        </w:rPr>
        <w:t xml:space="preserve">В бытовых условиях </w:t>
      </w:r>
      <w:proofErr w:type="spellStart"/>
      <w:r w:rsidRPr="00665F19">
        <w:rPr>
          <w:sz w:val="28"/>
          <w:szCs w:val="28"/>
        </w:rPr>
        <w:t>фталаты</w:t>
      </w:r>
      <w:proofErr w:type="spellEnd"/>
      <w:r w:rsidRPr="00665F19">
        <w:rPr>
          <w:sz w:val="28"/>
          <w:szCs w:val="28"/>
        </w:rPr>
        <w:t xml:space="preserve"> можно определить по специфическому запаху. Любые изделия, имеющие резкий запах, могут сигнализировать о том, что в них содержатся небезопасные вещества. Старайтесь избегать покупки таких пластиковых изделий.</w:t>
      </w: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Default="00665F19" w:rsidP="00665F19">
      <w:pPr>
        <w:shd w:val="clear" w:color="auto" w:fill="F4F8FA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65F19" w:rsidRPr="00665F19" w:rsidRDefault="00665F19" w:rsidP="00665F1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19">
        <w:rPr>
          <w:rFonts w:ascii="Times New Roman" w:hAnsi="Times New Roman" w:cs="Times New Roman"/>
          <w:b/>
          <w:sz w:val="28"/>
          <w:szCs w:val="28"/>
        </w:rPr>
        <w:lastRenderedPageBreak/>
        <w:t>МЕЖДУНАРОДНЫЙ ОПЫТ ПРИМЕНЕНИЯ СВЕТОВОЗВРАЩАЮЩИХ ЭЛЕМЕНТОВ</w:t>
      </w:r>
    </w:p>
    <w:p w:rsidR="00665F19" w:rsidRPr="00665F19" w:rsidRDefault="00665F19" w:rsidP="00665F19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         </w:t>
      </w: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Значительный потенциал снижения аварийности в темное время суток заключается в использовании пешеходами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элементов.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             </w:t>
      </w: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Из практики применения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световозвращателей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известно, что на неосвещенной дороге пешеход без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световозвращателя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подвергается более чем 8-кратному риску несчастного случая по сравнению с пешеходом, пользующимся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световозвращателем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. При применении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 риск гибели для пешеходов уменьшается примерно на 70%.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        </w:t>
      </w:r>
      <w:proofErr w:type="gram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Научными исследованиями, в частности, проведенными в Швеции, доказано, что полностью одетый в черное человек с небольшой биркой из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световозвращающего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материала размером 5-6 см замечается на более дальнем расстоянии, чем человек, полностью одетый в белое.</w:t>
      </w:r>
      <w:proofErr w:type="gramEnd"/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 xml:space="preserve">        </w:t>
      </w:r>
      <w:proofErr w:type="gram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По оценкам норвежских исследователей, использование различного рода элементов из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материалов позволит снизить количество ДТП с пешеходами в темное время суток на 30-70 %, в сумерки – на 15 %.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     </w:t>
      </w: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При этом,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материалы оранжевого цвета позволяют легче заметить пешехода в дневное время, тогда как зажженные фонарики, проблесковые маячки,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детали одежды желтого и красного цветов больше помогают в темное время суток.</w:t>
      </w:r>
      <w:proofErr w:type="gramEnd"/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В связи с этим за рубежом пешеходам настоятельно рекомендуется при недостаточной освещенности либо иметь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световозвращающие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элементы на своей одежде (несъемные или съемные), либо держать в руке предметы с такими элементами, например, сумочки или рюкзаки с прикрепленными к ним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световозвращающими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брелоками.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В европейских странах польза ярких и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 в одежде неоднократно становилась темой пропагандистских кампаний по безопасности дорожного движения. Внимание, уделяемое данному аспекту воспитания населения, за рубежом столь велико, что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пропагандирование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деталей в одежде вошло в Программу обеспечения безопасности дорожного движения в Европейском союзе.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Световозвращатели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стали непременным атрибутом пешеходов во многих странах, например, в Финляндии, Эстонии, Латвии, где их сделали для пешеходов обязательными.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proofErr w:type="gram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Например, Норвежский совет безопасности на дорогах «ТРИГГ ТРАФИК» кроме активной воспитательной работы в образовательных организациях и выступлениях в средствах массовой информации, сотрудничает с дизайнерами в создании новых элементов со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световозвращающим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эффектом для одежды, организует конкурсы дизайнеров и продажу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световозвращателей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через сеть Интернет, разрабатывает условия для стимулирования производства </w:t>
      </w:r>
      <w:proofErr w:type="spellStart"/>
      <w:r w:rsidRPr="00665F19">
        <w:rPr>
          <w:rFonts w:ascii="Times New Roman" w:hAnsi="Times New Roman" w:cs="Times New Roman"/>
          <w:color w:val="1D1D1D"/>
          <w:sz w:val="28"/>
          <w:szCs w:val="28"/>
        </w:rPr>
        <w:t>световозвращающих</w:t>
      </w:r>
      <w:proofErr w:type="spellEnd"/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 элементов и их продажи в крупных магазинах.</w:t>
      </w:r>
      <w:proofErr w:type="gramEnd"/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Наличие у водителей защитных жилетов обязательно во многих европейских странах, например в Италии и Испании с 2004 года, Австрии и Португалии – с 2005 года, Хорватии – с 2006 года, Бельгии, Болгарии, Норвегии – с 2007 года, Люксембурге и Венгрии – с 2008 года.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 xml:space="preserve">Водитель, покинув автомобиль для установки знака аварийной остановки либо после совершения дорожной аварии, или находясь на резервной полосе </w:t>
      </w:r>
      <w:r w:rsidRPr="00665F19">
        <w:rPr>
          <w:rFonts w:ascii="Times New Roman" w:hAnsi="Times New Roman" w:cs="Times New Roman"/>
          <w:color w:val="1D1D1D"/>
          <w:sz w:val="28"/>
          <w:szCs w:val="28"/>
        </w:rPr>
        <w:lastRenderedPageBreak/>
        <w:t>автодороги, обязан надеть защитный жилет. Это правило распространяется в некоторых странах и на пассажиров автомобилей и на мотоциклистов (Бельгия, Люксембург, Хорватия). Во время поездки защитный жилет должен висеть на спинке сиденья водителя. За отсутствие защитного жилета предусматривается административная ответственность в виде штрафа.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083A5D"/>
          <w:sz w:val="28"/>
          <w:szCs w:val="28"/>
        </w:rPr>
      </w:pPr>
      <w:r w:rsidRPr="00665F19">
        <w:rPr>
          <w:rFonts w:ascii="Times New Roman" w:hAnsi="Times New Roman" w:cs="Times New Roman"/>
          <w:color w:val="083A5D"/>
          <w:sz w:val="28"/>
          <w:szCs w:val="28"/>
        </w:rPr>
        <w:t>УСТАНОВЛЕНЫ СЛЕДУЮЩИЕ РАЗМЕРЫ ШТРАФОВ: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Австрия – 14 евро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Бельгия – 50 евро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Испания – 91 евро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Италия – от 34 до 138 евро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Словакия – от 50 до 150 евро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665F19">
        <w:rPr>
          <w:rFonts w:ascii="Times New Roman" w:hAnsi="Times New Roman" w:cs="Times New Roman"/>
          <w:color w:val="1D1D1D"/>
          <w:sz w:val="28"/>
          <w:szCs w:val="28"/>
        </w:rPr>
        <w:t>В Португалии отсутствие жилета в автомобиле влечет ответственность водителя в виде штрафа в размере от 60 до 300 евро. Если водитель, выйдя из автомобиля при аварийной остановке, не надел жилет, размер штрафа составит от 120 до 600 евро.</w:t>
      </w:r>
    </w:p>
    <w:p w:rsidR="00665F19" w:rsidRPr="00665F19" w:rsidRDefault="00665F19" w:rsidP="00665F1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65F19" w:rsidRPr="00665F19" w:rsidSect="00E66A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7049"/>
    <w:multiLevelType w:val="multilevel"/>
    <w:tmpl w:val="F3DA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22A1F"/>
    <w:multiLevelType w:val="multilevel"/>
    <w:tmpl w:val="510E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D91976"/>
    <w:multiLevelType w:val="multilevel"/>
    <w:tmpl w:val="E7FC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2862AB"/>
    <w:multiLevelType w:val="multilevel"/>
    <w:tmpl w:val="F8E8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A3D2D"/>
    <w:multiLevelType w:val="multilevel"/>
    <w:tmpl w:val="72E4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A6C"/>
    <w:rsid w:val="002D357A"/>
    <w:rsid w:val="00533ABE"/>
    <w:rsid w:val="00665F19"/>
    <w:rsid w:val="00AB0669"/>
    <w:rsid w:val="00E6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B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A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66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F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6A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A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66A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E66A6C"/>
  </w:style>
  <w:style w:type="paragraph" w:styleId="a6">
    <w:name w:val="No Spacing"/>
    <w:uiPriority w:val="1"/>
    <w:qFormat/>
    <w:rsid w:val="00E66A6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665F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665F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059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82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976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  <w:div w:id="1423649018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  <w:div w:id="209995696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  <w:div w:id="949050346">
                  <w:marLeft w:val="0"/>
                  <w:marRight w:val="0"/>
                  <w:marTop w:val="0"/>
                  <w:marBottom w:val="225"/>
                  <w:divBdr>
                    <w:top w:val="single" w:sz="6" w:space="4" w:color="F5FAFC"/>
                    <w:left w:val="single" w:sz="6" w:space="8" w:color="F5FAFC"/>
                    <w:bottom w:val="single" w:sz="6" w:space="4" w:color="F5FAFC"/>
                    <w:right w:val="single" w:sz="6" w:space="8" w:color="F5FAFC"/>
                  </w:divBdr>
                </w:div>
              </w:divsChild>
            </w:div>
            <w:div w:id="122625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2905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</w:div>
                  </w:divsChild>
                </w:div>
                <w:div w:id="12333963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8591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  <w:divsChild>
                        <w:div w:id="10782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20583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F5FAFC"/>
                        <w:left w:val="single" w:sz="6" w:space="8" w:color="F5FAFC"/>
                        <w:bottom w:val="single" w:sz="6" w:space="4" w:color="F5FAFC"/>
                        <w:right w:val="single" w:sz="6" w:space="8" w:color="F5FAFC"/>
                      </w:divBdr>
                      <w:divsChild>
                        <w:div w:id="58603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www.gibdd.ru/mens/peshekhodam/reflector/examples/images/d6.jpg" TargetMode="External"/><Relationship Id="rId26" Type="http://schemas.openxmlformats.org/officeDocument/2006/relationships/hyperlink" Target="http://www.gibdd.ru/mens/peshekhodam/reflector/examples/images/d13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://www.gibdd.ru/mens/peshekhodam/reflector/examples/images/d16.jpg" TargetMode="External"/><Relationship Id="rId42" Type="http://schemas.openxmlformats.org/officeDocument/2006/relationships/hyperlink" Target="http://www.gibdd.ru/mens/peshekhodam/reflector/examples/images/d20.jpg" TargetMode="External"/><Relationship Id="rId47" Type="http://schemas.openxmlformats.org/officeDocument/2006/relationships/image" Target="media/image22.gif"/><Relationship Id="rId50" Type="http://schemas.openxmlformats.org/officeDocument/2006/relationships/hyperlink" Target="http://www.gibdd.ru/mens/peshekhodam/reflector/examples/images/f3.jpg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2.pn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gibdd.ru/mens/peshekhodam/reflector/examples/images/d7.jpg" TargetMode="External"/><Relationship Id="rId20" Type="http://schemas.openxmlformats.org/officeDocument/2006/relationships/hyperlink" Target="http://www.gibdd.ru/mens/peshekhodam/reflector/examples/images/d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hyperlink" Target="http://www.gibdd.ru/mens/peshekhodam/reflector/examples/images/f5.jpg" TargetMode="External"/><Relationship Id="rId62" Type="http://schemas.openxmlformats.org/officeDocument/2006/relationships/image" Target="media/image31.gif"/><Relationship Id="rId1" Type="http://schemas.openxmlformats.org/officeDocument/2006/relationships/numbering" Target="numbering.xml"/><Relationship Id="rId6" Type="http://schemas.openxmlformats.org/officeDocument/2006/relationships/hyperlink" Target="http://www.gibdd.ru/mens/peshekhodam/reflector/examples/images/d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ibdd.ru/mens/peshekhodam/reflector/examples/images/d11.jpg" TargetMode="External"/><Relationship Id="rId32" Type="http://schemas.openxmlformats.org/officeDocument/2006/relationships/hyperlink" Target="http://www.gibdd.ru/mens/peshekhodam/reflector/examples/images/d21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gibdd.ru/mens/peshekhodam/reflector/examples/images/d19.jpg" TargetMode="External"/><Relationship Id="rId45" Type="http://schemas.openxmlformats.org/officeDocument/2006/relationships/image" Target="media/image21.gif"/><Relationship Id="rId53" Type="http://schemas.openxmlformats.org/officeDocument/2006/relationships/image" Target="media/image25.jpeg"/><Relationship Id="rId58" Type="http://schemas.openxmlformats.org/officeDocument/2006/relationships/hyperlink" Target="http://www.gibdd.ru/mens/peshekhodam/reflector/examples/images/f6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ibdd.ru/mens/peshekhodam/reflector/examples/images/d14.jpg" TargetMode="External"/><Relationship Id="rId36" Type="http://schemas.openxmlformats.org/officeDocument/2006/relationships/hyperlink" Target="http://www.gibdd.ru/mens/peshekhodam/reflector/examples/images/d17.jp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image" Target="media/image30.jpeg"/><Relationship Id="rId10" Type="http://schemas.openxmlformats.org/officeDocument/2006/relationships/hyperlink" Target="http://www.gibdd.ru/mens/peshekhodam/reflector/examples/images/d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www.gibdd.ru/mens/peshekhodam/reflector/examples/images/f1.jpg" TargetMode="External"/><Relationship Id="rId52" Type="http://schemas.openxmlformats.org/officeDocument/2006/relationships/hyperlink" Target="http://www.gibdd.ru/mens/peshekhodam/reflector/examples/images/f7.jpg" TargetMode="External"/><Relationship Id="rId60" Type="http://schemas.openxmlformats.org/officeDocument/2006/relationships/image" Target="media/image29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gibdd.ru/mens/peshekhodam/reflector/examples/images/d5.jpg" TargetMode="External"/><Relationship Id="rId22" Type="http://schemas.openxmlformats.org/officeDocument/2006/relationships/hyperlink" Target="http://www.gibdd.ru/mens/peshekhodam/reflector/examples/images/d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ibdd.ru/mens/peshekhodam/reflector/examples/images/d15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://www.gibdd.ru/mens/peshekhodam/reflector/examples/images/f8.jpg" TargetMode="External"/><Relationship Id="rId56" Type="http://schemas.openxmlformats.org/officeDocument/2006/relationships/hyperlink" Target="http://www.gibdd.ru/mens/peshekhodam/reflector/examples/images/f4.jpg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gibdd.ru/mens/peshekhodam/reflector/examples/images/d2.jpg" TargetMode="External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hyperlink" Target="http://www.gibdd.ru/mens/peshekhodam/reflector/examples/images/d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ibdd.ru/mens/peshekhodam/reflector/examples/images/d18.jpg" TargetMode="External"/><Relationship Id="rId46" Type="http://schemas.openxmlformats.org/officeDocument/2006/relationships/hyperlink" Target="http://www.gibdd.ru/mens/peshekhodam/reflector/examples/images/f2.jpg" TargetMode="External"/><Relationship Id="rId59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2015-10-16T04:04:00Z</dcterms:created>
  <dcterms:modified xsi:type="dcterms:W3CDTF">2015-10-16T04:22:00Z</dcterms:modified>
</cp:coreProperties>
</file>